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32" w:rsidRDefault="006F3232" w:rsidP="006F3232">
      <w:pPr>
        <w:spacing w:after="0" w:line="525" w:lineRule="atLeast"/>
        <w:outlineLvl w:val="2"/>
        <w:rPr>
          <w:rFonts w:ascii="Arial" w:eastAsia="Times New Roman" w:hAnsi="Arial" w:cs="Arial"/>
          <w:color w:val="8C0841"/>
          <w:sz w:val="33"/>
          <w:szCs w:val="33"/>
          <w:lang w:eastAsia="tr-TR"/>
        </w:rPr>
      </w:pPr>
    </w:p>
    <w:p w:rsidR="006F3232" w:rsidRDefault="006F3232" w:rsidP="006F3232">
      <w:pPr>
        <w:spacing w:after="0" w:line="525" w:lineRule="atLeast"/>
        <w:outlineLvl w:val="2"/>
        <w:rPr>
          <w:rFonts w:ascii="Arial" w:eastAsia="Times New Roman" w:hAnsi="Arial" w:cs="Arial"/>
          <w:color w:val="8C0841"/>
          <w:sz w:val="33"/>
          <w:szCs w:val="33"/>
          <w:lang w:eastAsia="tr-TR"/>
        </w:rPr>
      </w:pPr>
      <w:r w:rsidRPr="006F3232">
        <w:rPr>
          <w:rFonts w:ascii="Arial" w:eastAsia="Times New Roman" w:hAnsi="Arial" w:cs="Arial"/>
          <w:noProof/>
          <w:color w:val="8C0841"/>
          <w:sz w:val="33"/>
          <w:szCs w:val="33"/>
          <w:lang w:eastAsia="tr-TR"/>
        </w:rPr>
        <w:drawing>
          <wp:inline distT="0" distB="0" distL="0" distR="0">
            <wp:extent cx="5760720" cy="2917865"/>
            <wp:effectExtent l="0" t="0" r="0" b="0"/>
            <wp:docPr id="1" name="Resim 1" descr="C:\Users\admin\Desktop\KVK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VKK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32" w:rsidRDefault="006F3232" w:rsidP="006F3232">
      <w:pPr>
        <w:spacing w:after="0" w:line="525" w:lineRule="atLeast"/>
        <w:outlineLvl w:val="2"/>
        <w:rPr>
          <w:rFonts w:ascii="Arial" w:eastAsia="Times New Roman" w:hAnsi="Arial" w:cs="Arial"/>
          <w:color w:val="8C0841"/>
          <w:sz w:val="33"/>
          <w:szCs w:val="33"/>
          <w:lang w:eastAsia="tr-TR"/>
        </w:rPr>
      </w:pPr>
    </w:p>
    <w:p w:rsidR="006F3232" w:rsidRDefault="006F3232" w:rsidP="006F3232">
      <w:pPr>
        <w:spacing w:after="0" w:line="525" w:lineRule="atLeast"/>
        <w:outlineLvl w:val="2"/>
        <w:rPr>
          <w:rFonts w:ascii="Arial" w:eastAsia="Times New Roman" w:hAnsi="Arial" w:cs="Arial"/>
          <w:color w:val="8C0841"/>
          <w:sz w:val="33"/>
          <w:szCs w:val="33"/>
          <w:lang w:eastAsia="tr-TR"/>
        </w:rPr>
      </w:pPr>
      <w:bookmarkStart w:id="0" w:name="_GoBack"/>
      <w:bookmarkEnd w:id="0"/>
    </w:p>
    <w:p w:rsidR="006F3232" w:rsidRDefault="006F3232" w:rsidP="006F3232">
      <w:pPr>
        <w:spacing w:after="0" w:line="525" w:lineRule="atLeast"/>
        <w:outlineLvl w:val="2"/>
        <w:rPr>
          <w:rFonts w:ascii="Arial" w:eastAsia="Times New Roman" w:hAnsi="Arial" w:cs="Arial"/>
          <w:color w:val="8C0841"/>
          <w:sz w:val="33"/>
          <w:szCs w:val="33"/>
          <w:lang w:eastAsia="tr-TR"/>
        </w:rPr>
      </w:pPr>
    </w:p>
    <w:p w:rsidR="006F3232" w:rsidRPr="006F3232" w:rsidRDefault="006F3232" w:rsidP="006F3232">
      <w:pPr>
        <w:spacing w:after="0" w:line="525" w:lineRule="atLeast"/>
        <w:outlineLvl w:val="2"/>
        <w:rPr>
          <w:rFonts w:ascii="Arial" w:eastAsia="Times New Roman" w:hAnsi="Arial" w:cs="Arial"/>
          <w:color w:val="8C0841"/>
          <w:sz w:val="33"/>
          <w:szCs w:val="33"/>
          <w:lang w:eastAsia="tr-TR"/>
        </w:rPr>
      </w:pPr>
      <w:r w:rsidRPr="006F3232">
        <w:rPr>
          <w:rFonts w:ascii="Arial" w:eastAsia="Times New Roman" w:hAnsi="Arial" w:cs="Arial"/>
          <w:color w:val="8C0841"/>
          <w:sz w:val="33"/>
          <w:szCs w:val="33"/>
          <w:lang w:eastAsia="tr-TR"/>
        </w:rPr>
        <w:t>6698 Sayılı Kişisel Verilerin Korunması Kanunu Kapsamında İdari Para Cezası Tutarları</w:t>
      </w:r>
    </w:p>
    <w:p w:rsidR="006F3232" w:rsidRPr="006F3232" w:rsidRDefault="006F3232" w:rsidP="006F3232">
      <w:pPr>
        <w:spacing w:after="0" w:line="525" w:lineRule="atLeast"/>
        <w:outlineLvl w:val="2"/>
        <w:rPr>
          <w:rFonts w:ascii="Arial" w:eastAsia="Times New Roman" w:hAnsi="Arial" w:cs="Arial"/>
          <w:color w:val="343A40"/>
          <w:sz w:val="27"/>
          <w:szCs w:val="27"/>
          <w:lang w:eastAsia="tr-TR"/>
        </w:rPr>
      </w:pPr>
      <w:r w:rsidRPr="006F3232">
        <w:rPr>
          <w:rFonts w:ascii="Arial" w:eastAsia="Times New Roman" w:hAnsi="Arial" w:cs="Arial"/>
          <w:color w:val="343A40"/>
          <w:sz w:val="27"/>
          <w:szCs w:val="27"/>
          <w:lang w:eastAsia="tr-TR"/>
        </w:rPr>
        <w:t> </w:t>
      </w:r>
    </w:p>
    <w:p w:rsidR="006F3232" w:rsidRPr="006F3232" w:rsidRDefault="006F3232" w:rsidP="006F3232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43A40"/>
          <w:sz w:val="21"/>
          <w:szCs w:val="21"/>
          <w:lang w:eastAsia="tr-TR"/>
        </w:rPr>
      </w:pPr>
      <w:proofErr w:type="gramStart"/>
      <w:r w:rsidRPr="006F3232">
        <w:rPr>
          <w:rFonts w:ascii="Arial" w:eastAsia="Times New Roman" w:hAnsi="Arial" w:cs="Arial"/>
          <w:color w:val="343A40"/>
          <w:sz w:val="21"/>
          <w:szCs w:val="21"/>
          <w:lang w:eastAsia="tr-TR"/>
        </w:rPr>
        <w:t>6698 sayılı Kişisel Verilerin Korunması Kanunu’nun 18’inci maddesinde düzenlenen İdari Para Cezalarının 5326 sayılı Kabahatler Kanunu’nun 17’nci maddesinin yedinci fıkrasına göre her takvim yılı başından geçerli olmak üzere o yıl için 213 sayılı Vergi Usul Kanunu’nun mükerrer 298’inci maddesi hükümleri uyarınca 2017-2025 yılları için tespit ve ilan edilen yeniden değerleme oranında arttırılmış tutarlarını gösteren tabloya aşağıdaki linkten ulaşabilirsiniz.</w:t>
      </w:r>
      <w:proofErr w:type="gramEnd"/>
    </w:p>
    <w:p w:rsidR="006F3232" w:rsidRPr="006F3232" w:rsidRDefault="006F3232" w:rsidP="006F3232">
      <w:pPr>
        <w:spacing w:beforeAutospacing="1" w:after="0" w:afterAutospacing="1" w:line="300" w:lineRule="atLeast"/>
        <w:rPr>
          <w:rFonts w:ascii="Arial" w:eastAsia="Times New Roman" w:hAnsi="Arial" w:cs="Arial"/>
          <w:color w:val="343A40"/>
          <w:sz w:val="21"/>
          <w:szCs w:val="21"/>
          <w:lang w:eastAsia="tr-TR"/>
        </w:rPr>
      </w:pPr>
      <w:hyperlink r:id="rId5" w:tgtFrame="_blank" w:history="1">
        <w:r w:rsidRPr="006F3232">
          <w:rPr>
            <w:rFonts w:ascii="Arial" w:eastAsia="Times New Roman" w:hAnsi="Arial" w:cs="Arial"/>
            <w:color w:val="007BFF"/>
            <w:sz w:val="21"/>
            <w:szCs w:val="21"/>
            <w:u w:val="single"/>
            <w:lang w:eastAsia="tr-TR"/>
          </w:rPr>
          <w:t>6698 Sayılı Kişisel Verilerin Korunması Kanunu'nda Düzenlenen İdari Para Cezaları</w:t>
        </w:r>
      </w:hyperlink>
    </w:p>
    <w:p w:rsidR="00E72AB0" w:rsidRDefault="00E72AB0"/>
    <w:sectPr w:rsidR="00E72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FB"/>
    <w:rsid w:val="006F3232"/>
    <w:rsid w:val="009F7EFB"/>
    <w:rsid w:val="00E7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4D11"/>
  <w15:chartTrackingRefBased/>
  <w15:docId w15:val="{4B547008-6153-4BBD-AF44-B7849E7E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vkk.firat.edu.tr/subdomain_files/kvkk.firat.edu.tr/files/shares/6698%20Say%C4%B1l%C4%B1%20Ki%C5%9Fisel%20Verilerin%20Korunmas%C4%B1%20Kanunu'nda%20D%C3%BCzenlenen%20%C4%B0dari%20Para%20Cezalar%C4%B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2025-05-08T10:07:00Z</dcterms:created>
  <dcterms:modified xsi:type="dcterms:W3CDTF">2025-05-08T10:08:00Z</dcterms:modified>
</cp:coreProperties>
</file>